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28" w:rsidRPr="00F75889" w:rsidRDefault="00DE247F">
      <w:pPr>
        <w:pStyle w:val="a3"/>
        <w:widowControl/>
        <w:shd w:val="clear" w:color="auto" w:fill="FFFFFF"/>
        <w:spacing w:beforeAutospacing="0" w:afterAutospacing="0" w:line="600" w:lineRule="exact"/>
        <w:jc w:val="center"/>
        <w:rPr>
          <w:rFonts w:ascii="方正小标宋简体" w:eastAsia="方正小标宋简体" w:hAnsi="方正小标简宋" w:cs="方正小标简宋" w:hint="eastAsia"/>
          <w:b/>
          <w:color w:val="393939"/>
          <w:sz w:val="44"/>
          <w:szCs w:val="44"/>
        </w:rPr>
      </w:pPr>
      <w:r w:rsidRPr="00F75889">
        <w:rPr>
          <w:rStyle w:val="a4"/>
          <w:rFonts w:ascii="方正小标宋简体" w:eastAsia="方正小标宋简体" w:hAnsi="方正小标简宋" w:cs="方正小标简宋" w:hint="eastAsia"/>
          <w:b w:val="0"/>
          <w:color w:val="393939"/>
          <w:sz w:val="44"/>
          <w:szCs w:val="44"/>
          <w:shd w:val="clear" w:color="auto" w:fill="FFFFFF"/>
        </w:rPr>
        <w:t>国务院办公厅关于全面放开养老服务市场</w:t>
      </w:r>
    </w:p>
    <w:p w:rsidR="00E85D28" w:rsidRDefault="00DE247F">
      <w:pPr>
        <w:pStyle w:val="a3"/>
        <w:widowControl/>
        <w:shd w:val="clear" w:color="auto" w:fill="FFFFFF"/>
        <w:spacing w:beforeAutospacing="0" w:afterAutospacing="0" w:line="600" w:lineRule="exact"/>
        <w:jc w:val="center"/>
        <w:rPr>
          <w:rFonts w:ascii="方正小标简宋" w:eastAsia="方正小标简宋" w:hAnsi="方正小标简宋" w:cs="方正小标简宋"/>
          <w:color w:val="393939"/>
          <w:sz w:val="40"/>
          <w:szCs w:val="40"/>
        </w:rPr>
      </w:pPr>
      <w:r w:rsidRPr="00F75889">
        <w:rPr>
          <w:rStyle w:val="a4"/>
          <w:rFonts w:ascii="方正小标宋简体" w:eastAsia="方正小标宋简体" w:hAnsi="方正小标简宋" w:cs="方正小标简宋" w:hint="eastAsia"/>
          <w:b w:val="0"/>
          <w:color w:val="393939"/>
          <w:sz w:val="44"/>
          <w:szCs w:val="44"/>
          <w:shd w:val="clear" w:color="auto" w:fill="FFFFFF"/>
        </w:rPr>
        <w:t>提升养老服务质量的若干意见</w:t>
      </w:r>
    </w:p>
    <w:p w:rsidR="00E85D28" w:rsidRDefault="00DE247F">
      <w:pPr>
        <w:pStyle w:val="a3"/>
        <w:widowControl/>
        <w:shd w:val="clear" w:color="auto" w:fill="FFFFFF"/>
        <w:spacing w:beforeAutospacing="0" w:afterAutospacing="0" w:line="600" w:lineRule="exact"/>
        <w:jc w:val="center"/>
        <w:rPr>
          <w:rFonts w:ascii="方正小标简宋" w:eastAsia="方正小标简宋" w:hAnsi="方正小标简宋" w:cs="方正小标简宋"/>
          <w:color w:val="393939"/>
          <w:sz w:val="40"/>
          <w:szCs w:val="40"/>
        </w:rPr>
      </w:pPr>
      <w:r>
        <w:rPr>
          <w:rFonts w:ascii="仿宋_GB2312" w:eastAsia="仿宋_GB2312" w:hAnsi="仿宋_GB2312" w:cs="仿宋_GB2312" w:hint="eastAsia"/>
          <w:color w:val="393939"/>
          <w:sz w:val="34"/>
          <w:szCs w:val="34"/>
          <w:shd w:val="clear" w:color="auto" w:fill="FFFFFF"/>
        </w:rPr>
        <w:t>国办发〔2016〕91号</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各省、自治区、直辖市人民政府，国务院各部委、各直属机构：</w:t>
      </w:r>
    </w:p>
    <w:p w:rsidR="00DE247F" w:rsidRDefault="00DE247F" w:rsidP="00DE247F">
      <w:pPr>
        <w:pStyle w:val="a3"/>
        <w:widowControl/>
        <w:shd w:val="clear" w:color="auto" w:fill="FFFFFF"/>
        <w:spacing w:beforeAutospacing="0" w:afterAutospacing="0" w:line="600" w:lineRule="exact"/>
        <w:ind w:firstLineChars="200" w:firstLine="680"/>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养老服务业既是涉及亿万群众福祉的民生事业，也是具有巨大发展潜力的朝阳产</w:t>
      </w:r>
      <w:bookmarkStart w:id="0" w:name="_GoBack"/>
      <w:bookmarkEnd w:id="0"/>
      <w:r>
        <w:rPr>
          <w:rFonts w:ascii="仿宋_GB2312" w:eastAsia="仿宋_GB2312" w:hAnsi="仿宋_GB2312" w:cs="仿宋_GB2312" w:hint="eastAsia"/>
          <w:color w:val="393939"/>
          <w:sz w:val="34"/>
          <w:szCs w:val="34"/>
          <w:shd w:val="clear" w:color="auto" w:fill="FFFFFF"/>
        </w:rPr>
        <w:t>业。近年来，我国养老服务业快速发展，产业规模不断扩大，服务体系逐步完善，但仍面临供给结构不尽合理、市场潜力未充分释放、服务质量有待提高等问题。随着人口老龄化程度不断加深和人民生活水平逐步提高，老年群体多层次、多样化的服务需求持续增长，对扩大养老服务有效供给提出了更高要求。为促进养老服务业更好更快发展，经国务院同意，现提出如下意见：</w:t>
      </w:r>
    </w:p>
    <w:p w:rsidR="00DE247F" w:rsidRDefault="00DE247F" w:rsidP="00DE247F">
      <w:pPr>
        <w:pStyle w:val="a3"/>
        <w:widowControl/>
        <w:shd w:val="clear" w:color="auto" w:fill="FFFFFF"/>
        <w:spacing w:beforeAutospacing="0" w:afterAutospacing="0" w:line="600" w:lineRule="exact"/>
        <w:ind w:firstLineChars="200" w:firstLine="683"/>
        <w:rPr>
          <w:rFonts w:ascii="仿宋_GB2312" w:eastAsia="仿宋_GB2312" w:hAnsi="仿宋_GB2312" w:cs="仿宋_GB2312"/>
          <w:color w:val="393939"/>
          <w:sz w:val="34"/>
          <w:szCs w:val="34"/>
        </w:rPr>
      </w:pPr>
      <w:r>
        <w:rPr>
          <w:rFonts w:ascii="黑体" w:eastAsia="黑体" w:hAnsi="黑体" w:cs="黑体" w:hint="eastAsia"/>
          <w:b/>
          <w:bCs/>
          <w:color w:val="393939"/>
          <w:sz w:val="34"/>
          <w:szCs w:val="34"/>
          <w:shd w:val="clear" w:color="auto" w:fill="FFFFFF"/>
        </w:rPr>
        <w:t>一、总体要求</w:t>
      </w:r>
    </w:p>
    <w:p w:rsidR="00E85D28" w:rsidRDefault="00DE247F" w:rsidP="00DE247F">
      <w:pPr>
        <w:pStyle w:val="a3"/>
        <w:widowControl/>
        <w:shd w:val="clear" w:color="auto" w:fill="FFFFFF"/>
        <w:spacing w:beforeAutospacing="0" w:afterAutospacing="0" w:line="600" w:lineRule="exact"/>
        <w:ind w:firstLineChars="200" w:firstLine="680"/>
        <w:rPr>
          <w:rFonts w:ascii="仿宋_GB2312" w:eastAsia="仿宋_GB2312" w:hAnsi="仿宋_GB2312" w:cs="仿宋_GB2312"/>
          <w:color w:val="393939"/>
          <w:sz w:val="34"/>
          <w:szCs w:val="34"/>
        </w:rPr>
      </w:pPr>
      <w:r>
        <w:rPr>
          <w:rFonts w:ascii="楷体_GB2312" w:eastAsia="楷体_GB2312" w:hAnsi="楷体_GB2312" w:cs="楷体_GB2312" w:hint="eastAsia"/>
          <w:b/>
          <w:bCs/>
          <w:color w:val="393939"/>
          <w:sz w:val="34"/>
          <w:szCs w:val="34"/>
          <w:shd w:val="clear" w:color="auto" w:fill="FFFFFF"/>
        </w:rPr>
        <w:t>（一）指导思想。</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全面贯彻党的十八大和十八届三中、四中、五中、六中全会精神，深入学习贯彻习近平总书记系列重要讲话精神和治国理政新理念新思想新战略，认真落实党中央、国务院决策部署，紧紧围绕“五位一体”总体布局和“四个全面”战略布局，坚持以新发展理念引领经济发展新常态，坚持中国特色卫生与健康发展道路，持续深化简政放权、放管结合、优化服务改革，积极应对人</w:t>
      </w:r>
      <w:r>
        <w:rPr>
          <w:rFonts w:ascii="仿宋_GB2312" w:eastAsia="仿宋_GB2312" w:hAnsi="仿宋_GB2312" w:cs="仿宋_GB2312" w:hint="eastAsia"/>
          <w:color w:val="393939"/>
          <w:sz w:val="34"/>
          <w:szCs w:val="34"/>
          <w:shd w:val="clear" w:color="auto" w:fill="FFFFFF"/>
        </w:rPr>
        <w:lastRenderedPageBreak/>
        <w:t>口老龄化，培育健康养老意识，加快推进养老服务业供给侧结构性改革，保障基本需求，繁荣养老市场，提升服务质量，让广大老年群体享受优质养老服务，切实增强人民群众获得感。</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（二）基本原则。</w:t>
      </w:r>
    </w:p>
    <w:p w:rsidR="00E85D28" w:rsidRDefault="00DE247F" w:rsidP="00DE247F">
      <w:pPr>
        <w:pStyle w:val="a3"/>
        <w:widowControl/>
        <w:shd w:val="clear" w:color="auto" w:fill="FFFFFF"/>
        <w:spacing w:beforeAutospacing="0" w:afterAutospacing="0" w:line="600" w:lineRule="exact"/>
        <w:ind w:firstLineChars="200" w:firstLine="680"/>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深化改革，放开市场。进一步降低准入门槛，营造公平竞争环境，积极引导社会资本进入养老服务业，推动公办养老机构改革，充分激发各类市场主体活力。</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改善结构，突出重点。补齐短板，将养老资源向居家社区服务倾斜，向农村倾斜，向失能、半失能老年人倾斜。进一步扩大护理型服务资源，大力培育发展小型化、连锁化、专业化服务机构。</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鼓励创新，提质增效。树立健康养老理念，注重管理创新、产品创新和品牌创新，积极运用新技术，培育发展新业态，促进老年产品用品丰富多样、养老服务方便可及。</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强化监管，优化环境。完善监督机制，健全评估制度，推动行业标准化和行业信用建设，加强行业自律，促进规范发展，维护老年人合法权益。</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（三）发展目标。</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到2020年，养老服务市场全面放开，养老服务和产品有效供给能力大幅提升，供给结构更加合理，养老服务政策法规体系、行业质量标准体系进一步完善，信用</w:t>
      </w:r>
      <w:r>
        <w:rPr>
          <w:rFonts w:ascii="仿宋_GB2312" w:eastAsia="仿宋_GB2312" w:hAnsi="仿宋_GB2312" w:cs="仿宋_GB2312" w:hint="eastAsia"/>
          <w:color w:val="393939"/>
          <w:sz w:val="34"/>
          <w:szCs w:val="34"/>
          <w:shd w:val="clear" w:color="auto" w:fill="FFFFFF"/>
        </w:rPr>
        <w:lastRenderedPageBreak/>
        <w:t>体系基本建立，市场监管机制有效运行，服务质量明显改善，群众满意度显著提高，养老服务业成为促进经济社会发展的新动能。</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sidRPr="00DE247F">
        <w:rPr>
          <w:rFonts w:ascii="黑体" w:eastAsia="黑体" w:hAnsi="黑体" w:cs="黑体" w:hint="eastAsia"/>
          <w:b/>
          <w:bCs/>
          <w:color w:val="393939"/>
          <w:sz w:val="34"/>
          <w:szCs w:val="34"/>
          <w:shd w:val="clear" w:color="auto" w:fill="FFFFFF"/>
        </w:rPr>
        <w:t>二、全面放开养老服务市场</w:t>
      </w:r>
    </w:p>
    <w:p w:rsidR="00E85D28" w:rsidRDefault="00DE247F">
      <w:pPr>
        <w:pStyle w:val="a3"/>
        <w:widowControl/>
        <w:shd w:val="clear" w:color="auto" w:fill="FFFFFF"/>
        <w:spacing w:beforeAutospacing="0" w:afterAutospacing="0" w:line="600" w:lineRule="exact"/>
        <w:rPr>
          <w:rFonts w:ascii="楷体_GB2312" w:eastAsia="楷体_GB2312" w:hAnsi="楷体_GB2312" w:cs="楷体_GB2312"/>
          <w:b/>
          <w:bCs/>
          <w:color w:val="393939"/>
          <w:sz w:val="34"/>
          <w:szCs w:val="34"/>
          <w:shd w:val="clear" w:color="auto" w:fill="FFFFFF"/>
        </w:rPr>
      </w:pPr>
      <w:r>
        <w:rPr>
          <w:rFonts w:ascii="仿宋_GB2312" w:eastAsia="仿宋_GB2312" w:hAnsi="仿宋_GB2312" w:cs="仿宋_GB2312" w:hint="eastAsia"/>
          <w:color w:val="393939"/>
          <w:sz w:val="34"/>
          <w:szCs w:val="34"/>
          <w:shd w:val="clear" w:color="auto" w:fill="FFFFFF"/>
        </w:rPr>
        <w:t xml:space="preserve">  </w:t>
      </w:r>
      <w:r>
        <w:rPr>
          <w:rFonts w:ascii="楷体_GB2312" w:eastAsia="楷体_GB2312" w:hAnsi="楷体_GB2312" w:cs="楷体_GB2312" w:hint="eastAsia"/>
          <w:b/>
          <w:bCs/>
          <w:color w:val="393939"/>
          <w:sz w:val="34"/>
          <w:szCs w:val="34"/>
          <w:shd w:val="clear" w:color="auto" w:fill="FFFFFF"/>
        </w:rPr>
        <w:t>（四）进一步放宽准入条件。</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降低准入门槛。设立营利性养老机构，应按“先照后证”的简化程序执行，在工商行政管理部门办理登记后，在辖区县级以上人民政府民政部门申请设立许可。在民政部门登记的非营利性养老机构，可以依法在其登记管理机关管辖范围内设立多个不具备法人资格的服务网点。非本地投资者举办养老服务项目与当地投资者享受同等政策待遇，当地不得以任何名目对此加以限制。</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放宽外资准入。在鼓励境外投资者在华举办营利性养老机构的基础上，进一步放开市场，鼓励境外投资者设立非营利性养老机构，其设立的非营利性养老机构与境内投资者设立的非营利性养老机构享受同等优惠政策。</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精简行政审批环节。全面清理、取消申办养老机构的不合理前置审批事项，优化审批程序，简化审批流程。申请设立养老服务类社会组织，符合直接登记条件的可以直接向民政部门依法申请登记，不再经由业务主管单位审查同意。支持新兴养老业态发展，对于养老机构以</w:t>
      </w:r>
      <w:r>
        <w:rPr>
          <w:rFonts w:ascii="仿宋_GB2312" w:eastAsia="仿宋_GB2312" w:hAnsi="仿宋_GB2312" w:cs="仿宋_GB2312" w:hint="eastAsia"/>
          <w:color w:val="393939"/>
          <w:sz w:val="34"/>
          <w:szCs w:val="34"/>
          <w:shd w:val="clear" w:color="auto" w:fill="FFFFFF"/>
        </w:rPr>
        <w:lastRenderedPageBreak/>
        <w:t>外的其他提供养老服务的主体，鼓励其依法办理法人登记并享受相关优惠政策。</w:t>
      </w:r>
    </w:p>
    <w:p w:rsidR="00E85D28" w:rsidRDefault="00DE247F" w:rsidP="00DE247F">
      <w:pPr>
        <w:pStyle w:val="a3"/>
        <w:widowControl/>
        <w:shd w:val="clear" w:color="auto" w:fill="FFFFFF"/>
        <w:spacing w:beforeAutospacing="0" w:afterAutospacing="0" w:line="600" w:lineRule="exact"/>
        <w:ind w:firstLineChars="200" w:firstLine="680"/>
        <w:rPr>
          <w:rFonts w:ascii="仿宋_GB2312" w:eastAsia="仿宋_GB2312" w:hAnsi="仿宋_GB2312" w:cs="仿宋_GB2312"/>
          <w:color w:val="393939"/>
          <w:sz w:val="34"/>
          <w:szCs w:val="34"/>
        </w:rPr>
      </w:pPr>
      <w:r>
        <w:rPr>
          <w:rFonts w:ascii="楷体_GB2312" w:eastAsia="楷体_GB2312" w:hAnsi="楷体_GB2312" w:cs="楷体_GB2312" w:hint="eastAsia"/>
          <w:b/>
          <w:bCs/>
          <w:color w:val="393939"/>
          <w:sz w:val="34"/>
          <w:szCs w:val="34"/>
          <w:shd w:val="clear" w:color="auto" w:fill="FFFFFF"/>
        </w:rPr>
        <w:t>（五）优化市场环境。</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进一步改进政府服务。举办养老机构审批过程中涉及的各有关部门，都要主动公开审批程序和审批时限，推进行政审批标准化，加强对筹建养老机构的指导服务。加快推行养老机构申办一站式服务，建立“一门受理、一并办理”的网上并联审批平台，进一步提高审批效率。根据消防法和有关规定，制定既保障安全、又方便合理的养老机构设立和管理配套办法。</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完善价格形成机制。加快建立以市场形成价格为主的养老机构服务收费管理机制。对于民办营利性养老机构，服务收费项目和标准由经营者自主确定。对于民办非营利性养老机构，服务收费标准由经营者合理确定，有关部门对其财务收支状况、收费项目和调价频次进行必要监管，同时加强对价格水平的监测分析。对于政府运营的养老机构，以扣除政府投入、社会捐赠后的实际服务成本为依据，按照非营利原则，实行政府定价或政府指导价；对于以公建民营等方式运营的养老机构，采用招投标、委托运营等竞争性方式确定运营方，具体服务收费标准由运营方依据委托协议等合理确定。</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加快公办养老机构改革。各地要因地制宜设置改革过渡期，加快推进具备向社会提供养老服务条件的公办</w:t>
      </w:r>
      <w:r>
        <w:rPr>
          <w:rFonts w:ascii="仿宋_GB2312" w:eastAsia="仿宋_GB2312" w:hAnsi="仿宋_GB2312" w:cs="仿宋_GB2312" w:hint="eastAsia"/>
          <w:color w:val="393939"/>
          <w:sz w:val="34"/>
          <w:szCs w:val="34"/>
          <w:shd w:val="clear" w:color="auto" w:fill="FFFFFF"/>
        </w:rPr>
        <w:lastRenderedPageBreak/>
        <w:t>养老机构转制成为企业或开展公建民营，到2020年政府运营的养老床位数占当地养老床位总数的比例应不超过50%。鼓励社会力量通过独资、合资、合作、联营、参股、租赁等方式，参与公办养老机构改革。完善公建民营养老机构管理办法，政府投资建设和购置的养老设施、新建居民区按规定配建并移交给民政部门的养老设施、国有单位培训疗养机构等改建的养老设施，均可实施公建民营。改革公办养老机构运营方式，鼓励实行服务外包。</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加强行业信用建设。建立覆盖养老服务行业法人、从业人员和服务对象的行业信用体系。建立健全信用信息记录和归集机制，加强与全国信用信息共享平台的信息交换和共享，通过企业信用信息公示系统向社会公示相关企业的行政许可、行政处罚等信息。引入第三方征信机构，参与养老行业信用建设和信用监管。建立多部门、跨地区的联合奖惩机制，将信用信息作为各项支持政策的重要衡量因素，对诚实守信者在政府购买服务、债券发行等方面实行优先办理、简化程序等绿色通道支持激励政策，建立养老服务行业黑名单制度和市场退出机制，加强行业自律和监管。</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黑体" w:eastAsia="黑体" w:hAnsi="黑体" w:cs="黑体" w:hint="eastAsia"/>
          <w:b/>
          <w:bCs/>
          <w:color w:val="393939"/>
          <w:sz w:val="34"/>
          <w:szCs w:val="34"/>
          <w:shd w:val="clear" w:color="auto" w:fill="FFFFFF"/>
        </w:rPr>
        <w:t>三、大力提升居家社区养老生活品质</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（六）推进居家社区养老服务全覆盖。</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开展老年人养老需求评估，加快建设社区综合服务信息平台，对接供求信息，提供助餐、助洁、助行、助</w:t>
      </w:r>
      <w:r>
        <w:rPr>
          <w:rFonts w:ascii="仿宋_GB2312" w:eastAsia="仿宋_GB2312" w:hAnsi="仿宋_GB2312" w:cs="仿宋_GB2312" w:hint="eastAsia"/>
          <w:color w:val="393939"/>
          <w:sz w:val="34"/>
          <w:szCs w:val="34"/>
          <w:shd w:val="clear" w:color="auto" w:fill="FFFFFF"/>
        </w:rPr>
        <w:lastRenderedPageBreak/>
        <w:t>浴、助医等上门服务，提升居家养老服务覆盖率和服务水平。依托社区服务中心（站）、社区日间照料中心、卫生服务中心等资源，为老年人提供健康、文化、体育、法律援助等服务。鼓励建设小型社区养老院，满足老年人就近养老需求，方便亲属照护探视。</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（七）提升农村养老服务能力和水平。</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依托农村社区综合服务设施，拓展养老服务功能。鼓励各地建设农村幸福院等自助式、互助式养老服务设施，加强与农村危房改造等涉农基本住房保障政策的衔接。农村集体经济、农村土地流转等收益分配应充分考虑解决本村老年人的养老问题。加强农村敬老院建设和改造，推动服务设施达标，满足农村特困人员集中供养需求，为农村低收入老年人和失能、半失能老年人提供便捷可及的养老服务。鼓励专业社会工作者、社区工作者、志愿服务者加强对农村留守、困难、鳏寡、独居老年人的关爱保护和心理疏导、咨询等服务。</w:t>
      </w:r>
      <w:r w:rsidRPr="00F75889">
        <w:rPr>
          <w:rFonts w:ascii="仿宋_GB2312" w:eastAsia="仿宋_GB2312" w:hAnsi="仿宋_GB2312" w:cs="仿宋_GB2312" w:hint="eastAsia"/>
          <w:color w:val="FF0000"/>
          <w:sz w:val="34"/>
          <w:szCs w:val="34"/>
          <w:shd w:val="clear" w:color="auto" w:fill="FFFFFF"/>
        </w:rPr>
        <w:t>充分依托</w:t>
      </w:r>
      <w:r>
        <w:rPr>
          <w:rFonts w:ascii="仿宋_GB2312" w:eastAsia="仿宋_GB2312" w:hAnsi="仿宋_GB2312" w:cs="仿宋_GB2312" w:hint="eastAsia"/>
          <w:color w:val="393939"/>
          <w:sz w:val="34"/>
          <w:szCs w:val="34"/>
          <w:shd w:val="clear" w:color="auto" w:fill="FFFFFF"/>
        </w:rPr>
        <w:t>农村基层党组织、自治组织和</w:t>
      </w:r>
      <w:r w:rsidRPr="00F75889">
        <w:rPr>
          <w:rFonts w:ascii="仿宋_GB2312" w:eastAsia="仿宋_GB2312" w:hAnsi="仿宋_GB2312" w:cs="仿宋_GB2312" w:hint="eastAsia"/>
          <w:color w:val="FF0000"/>
          <w:sz w:val="34"/>
          <w:szCs w:val="34"/>
          <w:shd w:val="clear" w:color="auto" w:fill="FFFFFF"/>
        </w:rPr>
        <w:t>社会组织等</w:t>
      </w:r>
      <w:r>
        <w:rPr>
          <w:rFonts w:ascii="仿宋_GB2312" w:eastAsia="仿宋_GB2312" w:hAnsi="仿宋_GB2312" w:cs="仿宋_GB2312" w:hint="eastAsia"/>
          <w:color w:val="393939"/>
          <w:sz w:val="34"/>
          <w:szCs w:val="34"/>
          <w:shd w:val="clear" w:color="auto" w:fill="FFFFFF"/>
        </w:rPr>
        <w:t>，</w:t>
      </w:r>
      <w:r w:rsidRPr="00F75889">
        <w:rPr>
          <w:rFonts w:ascii="仿宋_GB2312" w:eastAsia="仿宋_GB2312" w:hAnsi="仿宋_GB2312" w:cs="仿宋_GB2312" w:hint="eastAsia"/>
          <w:color w:val="FF0000"/>
          <w:sz w:val="34"/>
          <w:szCs w:val="34"/>
          <w:shd w:val="clear" w:color="auto" w:fill="FFFFFF"/>
        </w:rPr>
        <w:t>开展基层联络人登记，建立应急处置和评估帮扶机制，关注老年人的心理、安全等问题。</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（八）提高老年人生活便捷化水平。</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通过政府补贴、产业引导和业主众筹等方式，加快推进老旧居住小区和老年人家庭的无障碍改造，重点做好居住区缘石坡道、轮椅坡道、公共出入口、走道、楼</w:t>
      </w:r>
      <w:r>
        <w:rPr>
          <w:rFonts w:ascii="仿宋_GB2312" w:eastAsia="仿宋_GB2312" w:hAnsi="仿宋_GB2312" w:cs="仿宋_GB2312" w:hint="eastAsia"/>
          <w:color w:val="393939"/>
          <w:sz w:val="34"/>
          <w:szCs w:val="34"/>
          <w:shd w:val="clear" w:color="auto" w:fill="FFFFFF"/>
        </w:rPr>
        <w:lastRenderedPageBreak/>
        <w:t>梯、电梯候梯厅及轿厢等设施和部位的无障碍改造，优先安排贫困、高龄、失能等老年人家庭设施改造，组织开展多层老旧住宅电梯加装。支持开发老年宜居住宅和代际亲情住宅。各地在推进易地扶贫搬迁以及城镇棚户区、城乡危房改造和配套基础设施建设等保障性安居工程中，要统筹考虑适老化设施配套建设。</w:t>
      </w:r>
    </w:p>
    <w:p w:rsidR="00E85D28" w:rsidRDefault="00DE247F" w:rsidP="00DE247F">
      <w:pPr>
        <w:pStyle w:val="a3"/>
        <w:widowControl/>
        <w:shd w:val="clear" w:color="auto" w:fill="FFFFFF"/>
        <w:spacing w:beforeAutospacing="0" w:afterAutospacing="0" w:line="600" w:lineRule="exact"/>
        <w:ind w:firstLineChars="200" w:firstLine="683"/>
        <w:rPr>
          <w:rFonts w:ascii="黑体" w:eastAsia="黑体" w:hAnsi="黑体" w:cs="黑体"/>
          <w:color w:val="393939"/>
          <w:sz w:val="34"/>
          <w:szCs w:val="34"/>
        </w:rPr>
      </w:pPr>
      <w:r>
        <w:rPr>
          <w:rFonts w:ascii="黑体" w:eastAsia="黑体" w:hAnsi="黑体" w:cs="黑体" w:hint="eastAsia"/>
          <w:b/>
          <w:bCs/>
          <w:color w:val="393939"/>
          <w:sz w:val="34"/>
          <w:szCs w:val="34"/>
          <w:shd w:val="clear" w:color="auto" w:fill="FFFFFF"/>
        </w:rPr>
        <w:t>四、全力建设优质养老服务供给体系</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xml:space="preserve">  </w:t>
      </w:r>
      <w:r>
        <w:rPr>
          <w:rFonts w:ascii="楷体_GB2312" w:eastAsia="楷体_GB2312" w:hAnsi="楷体_GB2312" w:cs="楷体_GB2312" w:hint="eastAsia"/>
          <w:b/>
          <w:bCs/>
          <w:color w:val="393939"/>
          <w:sz w:val="34"/>
          <w:szCs w:val="34"/>
          <w:shd w:val="clear" w:color="auto" w:fill="FFFFFF"/>
        </w:rPr>
        <w:t>（九）推进“互联网+”养老服务创新。</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发展智慧养老服务新业态，开发和运用智能硬件，推动移动互联网、云计算、物联网、大数据等与养老服务业结合，创新居家养老服务模式，重点推进老年人健康管理、紧急救援、精神慰藉、服务预约、物品代购等服务，开发更加多元、精准的私人订制服务。支持适合老年人的智能化产品、健康监测可穿戴设备、健康养老移动应用软件（APP）等设计开发。打通养老服务信息共享渠道，推进社区综合服务信息平台与户籍、医疗、社会保障等信息资源对接，促进养老服务公共信息资源向各类养老服务机构开放。</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（十）建立医养结合绿色通道。</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建立医疗卫生机构设置审批绿色通道，支持养老机构开办老年病院、康复院、医务室等医疗卫生机构，将符合条件的养老机构内设医疗卫生机构按规定纳入城乡基本医疗保险定点范围。鼓励符合条件的执业医师到养</w:t>
      </w:r>
      <w:r>
        <w:rPr>
          <w:rFonts w:ascii="仿宋_GB2312" w:eastAsia="仿宋_GB2312" w:hAnsi="仿宋_GB2312" w:cs="仿宋_GB2312" w:hint="eastAsia"/>
          <w:color w:val="393939"/>
          <w:sz w:val="34"/>
          <w:szCs w:val="34"/>
          <w:shd w:val="clear" w:color="auto" w:fill="FFFFFF"/>
        </w:rPr>
        <w:lastRenderedPageBreak/>
        <w:t>老机构、社区老年照料机构内设的医疗卫生机构多点执业。开通预约就诊绿色通道，推进养老服务机构、社区老年照料机构与医疗机构对接，为老年人提供便捷医疗服务。提升医保经办服务能力，切实解决老年人异地就医直接结算问题。探索建立长期护理保险制度，形成多元化的保险筹资模式，推动解决失能人员基本生活照料和相关医疗护理等所需费用问题。</w:t>
      </w:r>
    </w:p>
    <w:p w:rsidR="00E85D28" w:rsidRDefault="00DE247F">
      <w:pPr>
        <w:pStyle w:val="a3"/>
        <w:widowControl/>
        <w:shd w:val="clear" w:color="auto" w:fill="FFFFFF"/>
        <w:spacing w:beforeAutospacing="0" w:afterAutospacing="0" w:line="600" w:lineRule="exact"/>
        <w:rPr>
          <w:rFonts w:ascii="楷体_GB2312" w:eastAsia="楷体_GB2312" w:hAnsi="楷体_GB2312" w:cs="楷体_GB2312"/>
          <w:b/>
          <w:bCs/>
          <w:color w:val="393939"/>
          <w:sz w:val="34"/>
          <w:szCs w:val="34"/>
          <w:shd w:val="clear" w:color="auto" w:fill="FFFFFF"/>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（十一）促进老年产品用品升级。</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支持企业利用新技术、新工艺、新材料和新装备开发为老年人服务的产品用品，研发老年人乐于接受和方便使用的智能科技产品，丰富产品品种，提高产品安全性、可靠性和实用性；上述企业经认定为高新技术企业的，按规定享受企业所得税优惠。及时更新康复辅助器具配置目录，重点支持自主研发和生产康复辅助器具。</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（十二）发展适老金融服务。</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规范和引导商业银行、保险公司等金融机构开发适合老年人的理财、保险产品，满足老年人金融服务需求，鼓励金融机构建设老年人无障碍设施，开辟服务绿色通道。强化老年人金融安全意识，加大金融消费权益保护力度。稳步推进养老金管理公司试点，按照国家有关规定，积极参与养老金管理相关业务，做好相关受托管理、投资管理和账户管理等服务工作。</w:t>
      </w:r>
    </w:p>
    <w:p w:rsidR="00E85D28" w:rsidRDefault="00DE247F">
      <w:pPr>
        <w:pStyle w:val="a3"/>
        <w:widowControl/>
        <w:shd w:val="clear" w:color="auto" w:fill="FFFFFF"/>
        <w:spacing w:beforeAutospacing="0" w:afterAutospacing="0" w:line="600" w:lineRule="exact"/>
        <w:rPr>
          <w:rFonts w:ascii="黑体" w:eastAsia="黑体" w:hAnsi="黑体" w:cs="黑体"/>
          <w:color w:val="393939"/>
          <w:sz w:val="34"/>
          <w:szCs w:val="34"/>
        </w:rPr>
      </w:pPr>
      <w:r>
        <w:rPr>
          <w:rFonts w:ascii="仿宋_GB2312" w:eastAsia="仿宋_GB2312" w:hAnsi="仿宋_GB2312" w:cs="仿宋_GB2312" w:hint="eastAsia"/>
          <w:color w:val="393939"/>
          <w:sz w:val="34"/>
          <w:szCs w:val="34"/>
          <w:shd w:val="clear" w:color="auto" w:fill="FFFFFF"/>
        </w:rPr>
        <w:t>  </w:t>
      </w:r>
      <w:r>
        <w:rPr>
          <w:rFonts w:ascii="黑体" w:eastAsia="黑体" w:hAnsi="黑体" w:cs="黑体" w:hint="eastAsia"/>
          <w:b/>
          <w:bCs/>
          <w:color w:val="393939"/>
          <w:sz w:val="34"/>
          <w:szCs w:val="34"/>
          <w:shd w:val="clear" w:color="auto" w:fill="FFFFFF"/>
        </w:rPr>
        <w:t>五、切实增强政策保障能力</w:t>
      </w:r>
    </w:p>
    <w:p w:rsidR="00E85D28" w:rsidRDefault="00DE247F" w:rsidP="00DE247F">
      <w:pPr>
        <w:pStyle w:val="a3"/>
        <w:widowControl/>
        <w:shd w:val="clear" w:color="auto" w:fill="FFFFFF"/>
        <w:spacing w:beforeAutospacing="0" w:afterAutospacing="0" w:line="600" w:lineRule="exact"/>
        <w:ind w:firstLineChars="200" w:firstLine="680"/>
        <w:rPr>
          <w:rFonts w:ascii="仿宋_GB2312" w:eastAsia="仿宋_GB2312" w:hAnsi="仿宋_GB2312" w:cs="仿宋_GB2312"/>
          <w:color w:val="393939"/>
          <w:sz w:val="34"/>
          <w:szCs w:val="34"/>
        </w:rPr>
      </w:pPr>
      <w:r>
        <w:rPr>
          <w:rFonts w:ascii="楷体_GB2312" w:eastAsia="楷体_GB2312" w:hAnsi="楷体_GB2312" w:cs="楷体_GB2312" w:hint="eastAsia"/>
          <w:b/>
          <w:bCs/>
          <w:color w:val="393939"/>
          <w:sz w:val="34"/>
          <w:szCs w:val="34"/>
          <w:shd w:val="clear" w:color="auto" w:fill="FFFFFF"/>
        </w:rPr>
        <w:lastRenderedPageBreak/>
        <w:t>（十三）加强统筹规划。</w:t>
      </w:r>
    </w:p>
    <w:p w:rsidR="00E85D28" w:rsidRDefault="00DE247F" w:rsidP="00DE247F">
      <w:pPr>
        <w:pStyle w:val="a3"/>
        <w:widowControl/>
        <w:shd w:val="clear" w:color="auto" w:fill="FFFFFF"/>
        <w:spacing w:beforeAutospacing="0" w:afterAutospacing="0" w:line="600" w:lineRule="exact"/>
        <w:ind w:firstLineChars="200" w:firstLine="680"/>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发挥规划引领作用，分级制定养老服务相关规划，与城乡规划、土地利用总体规划、城镇化规划、区域规划等相衔接，系统提升服务能力和水平。各地要进一步扩大面向居家社区、农村、失能半失能老年人的服务资源，结合实际提出养老床位结构的合理比例，到2020年护理型床位占当地养老床位总数的比例应不低于30%。</w:t>
      </w:r>
    </w:p>
    <w:p w:rsidR="00E85D28" w:rsidRDefault="00DE247F" w:rsidP="00DE247F">
      <w:pPr>
        <w:pStyle w:val="a3"/>
        <w:widowControl/>
        <w:shd w:val="clear" w:color="auto" w:fill="FFFFFF"/>
        <w:spacing w:beforeAutospacing="0" w:afterAutospacing="0" w:line="600" w:lineRule="exact"/>
        <w:ind w:firstLineChars="200" w:firstLine="680"/>
        <w:rPr>
          <w:rFonts w:ascii="仿宋_GB2312" w:eastAsia="仿宋_GB2312" w:hAnsi="仿宋_GB2312" w:cs="仿宋_GB2312"/>
          <w:color w:val="393939"/>
          <w:sz w:val="34"/>
          <w:szCs w:val="34"/>
        </w:rPr>
      </w:pPr>
      <w:r>
        <w:rPr>
          <w:rFonts w:ascii="楷体_GB2312" w:eastAsia="楷体_GB2312" w:hAnsi="楷体_GB2312" w:cs="楷体_GB2312" w:hint="eastAsia"/>
          <w:b/>
          <w:bCs/>
          <w:color w:val="393939"/>
          <w:sz w:val="34"/>
          <w:szCs w:val="34"/>
          <w:shd w:val="clear" w:color="auto" w:fill="FFFFFF"/>
        </w:rPr>
        <w:t>（十四）完善土地支持政策。</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统筹利用闲置资源发展养老服务，有关部门应按程序依据规划调整其土地使用性质。营利性养老服务机构利用存量建设用地建设养老设施，涉及划拨建设用地使用权出让（租赁）或转让的，在原土地用途符合规划的前提下，允许补缴土地出让金（租金），办理协议出让或租赁手续。企事业单位、个人对城镇现有空闲的厂房、学校、社区用房等进行改造和利用，举办养老服务机构，经有关部门批准临时改变建筑使用功能从事非营利性养老服务且连续经营一年以上的，五年内土地使用性质可暂不作变更。民间资本举办的非营利性养老机构与政府举办的养老机构可依法使用农民集体所有的土地。对在养老服务领域采取政府和社会资本合作（PPP）方式的项目，可以国有建设用地使用权作价出资或者入股建设。</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（十五）提升养老服务人才素质。</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lastRenderedPageBreak/>
        <w:t>  </w:t>
      </w:r>
      <w:r w:rsidRPr="00DE247F">
        <w:rPr>
          <w:rFonts w:ascii="仿宋_GB2312" w:eastAsia="仿宋_GB2312" w:hAnsi="仿宋_GB2312" w:cs="仿宋_GB2312" w:hint="eastAsia"/>
          <w:color w:val="FF0000"/>
          <w:sz w:val="34"/>
          <w:szCs w:val="34"/>
          <w:shd w:val="clear" w:color="auto" w:fill="FFFFFF"/>
        </w:rPr>
        <w:t>将养老护理员培训作为职业培训和促进就业的重要内容。对参加养老服务技能培训或创业培训且培训合格的劳动者，按规定给予培训补贴。</w:t>
      </w:r>
      <w:r>
        <w:rPr>
          <w:rFonts w:ascii="仿宋_GB2312" w:eastAsia="仿宋_GB2312" w:hAnsi="仿宋_GB2312" w:cs="仿宋_GB2312" w:hint="eastAsia"/>
          <w:color w:val="393939"/>
          <w:sz w:val="34"/>
          <w:szCs w:val="34"/>
          <w:shd w:val="clear" w:color="auto" w:fill="FFFFFF"/>
        </w:rPr>
        <w:t>推动普通高校和职业院校开发养老服务和老年教育课程，为社区、老年教育机构及养老服务机构等提供教学资源及服务。完善职业技能等级与养老服务人员薪酬待遇挂钩机制。建立养老服务行业从业人员奖惩机制，提升养老护理队伍职业道德素养。将养老护理员纳入企业新型学徒制试点和城市积分入户政策范围。积极开发老年人力资源，为老年人的家庭成员提供养老服务培训，倡导“互助养老”模式。</w:t>
      </w:r>
    </w:p>
    <w:p w:rsidR="00E85D28" w:rsidRDefault="00DE247F">
      <w:pPr>
        <w:pStyle w:val="a3"/>
        <w:widowControl/>
        <w:shd w:val="clear" w:color="auto" w:fill="FFFFFF"/>
        <w:spacing w:beforeAutospacing="0" w:afterAutospacing="0" w:line="600" w:lineRule="exact"/>
        <w:rPr>
          <w:rFonts w:ascii="楷体_GB2312" w:eastAsia="楷体_GB2312" w:hAnsi="楷体_GB2312" w:cs="楷体_GB2312"/>
          <w:b/>
          <w:bCs/>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（十六）完善财政支持和投融资政策。</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完善财政支持政策。各地要建立健全针对经济困难的高龄、失能老年人的补贴制度，统一设计、分类施补，提高补贴政策的精准度。对养老机构的运行补贴应根据接收失能老年人等情况合理发放。各级政府要加大投入，支持养老服务设施建设，切实落实养老机构相关税费优惠政策，落实彩票公益金支持养老服务体系建设政策要求。鼓励各地向符合条件的各类养老机构购买服务。</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拓宽投融资渠道。鼓励社会资本采取建立基金、发行企业债券等方式筹集资金，用于建设养老设施、购置设备和收购改造社会闲置资源等。鼓励银行业金融机构以养老服务机构有偿取得的土地使用权、产权明晰的房产等固定资产和应收账款、动产、知识产权、股权等抵</w:t>
      </w:r>
      <w:r>
        <w:rPr>
          <w:rFonts w:ascii="仿宋_GB2312" w:eastAsia="仿宋_GB2312" w:hAnsi="仿宋_GB2312" w:cs="仿宋_GB2312" w:hint="eastAsia"/>
          <w:color w:val="393939"/>
          <w:sz w:val="34"/>
          <w:szCs w:val="34"/>
          <w:shd w:val="clear" w:color="auto" w:fill="FFFFFF"/>
        </w:rPr>
        <w:lastRenderedPageBreak/>
        <w:t>质押，提供信贷支持，满足养老服务机构多样化融资需求。有条件的地方在风险可控、不改变养老机构性质和用途的前提下，可探索养老服务机构其他资产抵押贷款的可行模式。</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黑体" w:eastAsia="黑体" w:hAnsi="黑体" w:cs="黑体" w:hint="eastAsia"/>
          <w:b/>
          <w:bCs/>
          <w:color w:val="393939"/>
          <w:sz w:val="34"/>
          <w:szCs w:val="34"/>
          <w:shd w:val="clear" w:color="auto" w:fill="FFFFFF"/>
        </w:rPr>
        <w:t>六、加强监管和组织实施</w:t>
      </w:r>
    </w:p>
    <w:p w:rsidR="00E85D28" w:rsidRDefault="00DE247F">
      <w:pPr>
        <w:pStyle w:val="a3"/>
        <w:widowControl/>
        <w:shd w:val="clear" w:color="auto" w:fill="FFFFFF"/>
        <w:spacing w:beforeAutospacing="0" w:afterAutospacing="0" w:line="600" w:lineRule="exact"/>
        <w:rPr>
          <w:rFonts w:ascii="楷体_GB2312" w:eastAsia="楷体_GB2312" w:hAnsi="楷体_GB2312" w:cs="楷体_GB2312"/>
          <w:b/>
          <w:bCs/>
          <w:color w:val="393939"/>
          <w:sz w:val="34"/>
          <w:szCs w:val="34"/>
          <w:shd w:val="clear" w:color="auto" w:fill="FFFFFF"/>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（十七）加强服务监管。</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各地要建立健全民政部门和相关部门协同配合的监管机制，加强对养老机构运营和服务的监管。严禁以举办养老机构名义从事房地产开发，严禁利用养老机构的房屋、场地、设施开展与养老服务无关的活动，严禁改变机构的养老服务性质。做好养老服务领域非法集资信息监测和分析工作，做好政策宣传和风险提示工作。对养老服务中虐老欺老等行为，对养老机构在收取保证金、办理会员卡和发行金融产品等活动中的违法违规行为，要依法严厉查处。加强养老设施和服务安全管理，建立定期检查机制，确保老年人人身安全。</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（十八）加强行业自律。</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民政、质检等部门要进一步完善养老服务标准体系，抓紧制定管理和服务标准。落实养老机构综合评估和报告制度，开展第三方评估并向社会公布，评估结果应与政府购买服务、发放建设运营补贴等挂钩。政府运营的养老机构要实行老年人入住评估制度，综合评估申请入</w:t>
      </w:r>
      <w:r>
        <w:rPr>
          <w:rFonts w:ascii="仿宋_GB2312" w:eastAsia="仿宋_GB2312" w:hAnsi="仿宋_GB2312" w:cs="仿宋_GB2312" w:hint="eastAsia"/>
          <w:color w:val="393939"/>
          <w:sz w:val="34"/>
          <w:szCs w:val="34"/>
          <w:shd w:val="clear" w:color="auto" w:fill="FFFFFF"/>
        </w:rPr>
        <w:lastRenderedPageBreak/>
        <w:t>住老年人的情况，优先保障特困人员集中供养需求和其他经济困难的孤寡、失能、高龄等老年人的服务需求。</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（十九）加强宣传引导。</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坚持以社会主义核心价值观为引领，弘扬中华民族尊老、敬老的社会风尚和传统美德，开展孝敬教育，营造养老、助老的良好社会氛围，加强对养老服务业发展过程中涌现出的先进典型和先进事迹的宣传报道，及时总结推广养老服务业综合改革试点中的好经验、好做法。依法打击虐待、伤害老年人及侵害老年人合法权益的行为。积极组织开展适合老年人的文化体育娱乐活动，引导老年人积极参与社区服务、公益活动和健康知识培训，丰富老年人精神文化生活。</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w:t>
      </w:r>
      <w:r>
        <w:rPr>
          <w:rFonts w:ascii="楷体_GB2312" w:eastAsia="楷体_GB2312" w:hAnsi="楷体_GB2312" w:cs="楷体_GB2312" w:hint="eastAsia"/>
          <w:b/>
          <w:bCs/>
          <w:color w:val="393939"/>
          <w:sz w:val="34"/>
          <w:szCs w:val="34"/>
          <w:shd w:val="clear" w:color="auto" w:fill="FFFFFF"/>
        </w:rPr>
        <w:t>（二十）加强督促落实。</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各地要把全面放开养老服务市场、提升养老服务质量摆在重要位置，建立组织实施机制，及时制定配套实施意见，对政策落实情况进行跟踪分析和监督检查，确保责任到位、工作到位、见到实效。各部门要加强协同配合，落实和完善相关优惠政策，共同促进养老服务提质增效。对不落实养老服务政策，或者在养老机构运营和服务中有违反法律法规行为的，依法依规追究相关人员的责任。国家发展改革委、民政部要会同有关部门加强对地方的指导，及时督促检查并报告工作进展情况。</w:t>
      </w:r>
    </w:p>
    <w:p w:rsidR="00DE247F"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shd w:val="clear" w:color="auto" w:fill="FFFFFF"/>
        </w:rPr>
      </w:pPr>
      <w:r>
        <w:rPr>
          <w:rFonts w:ascii="仿宋_GB2312" w:eastAsia="仿宋_GB2312" w:hAnsi="仿宋_GB2312" w:cs="仿宋_GB2312" w:hint="eastAsia"/>
          <w:color w:val="393939"/>
          <w:sz w:val="34"/>
          <w:szCs w:val="34"/>
          <w:shd w:val="clear" w:color="auto" w:fill="FFFFFF"/>
        </w:rPr>
        <w:t>    </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lastRenderedPageBreak/>
        <w:t>附件：重点任务分工及进度安排表</w:t>
      </w:r>
    </w:p>
    <w:p w:rsidR="00E85D28" w:rsidRDefault="00DE247F">
      <w:pPr>
        <w:pStyle w:val="a3"/>
        <w:widowControl/>
        <w:shd w:val="clear" w:color="auto" w:fill="FFFFFF"/>
        <w:spacing w:beforeAutospacing="0" w:afterAutospacing="0" w:line="600" w:lineRule="exact"/>
        <w:jc w:val="righ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xml:space="preserve">　　　　　　　　　　　　　　　　　　　　　　　　　　　国务院办公厅</w:t>
      </w:r>
    </w:p>
    <w:p w:rsidR="00E85D28" w:rsidRDefault="00DE247F">
      <w:pPr>
        <w:pStyle w:val="a3"/>
        <w:widowControl/>
        <w:shd w:val="clear" w:color="auto" w:fill="FFFFFF"/>
        <w:spacing w:beforeAutospacing="0" w:afterAutospacing="0" w:line="600" w:lineRule="exact"/>
        <w:jc w:val="righ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xml:space="preserve">　　　　　　　　　　　　　　　　　　　　　　　　　　　2016年12月7日</w:t>
      </w:r>
    </w:p>
    <w:p w:rsidR="00E85D28" w:rsidRDefault="00DE247F">
      <w:pPr>
        <w:pStyle w:val="a3"/>
        <w:widowControl/>
        <w:shd w:val="clear" w:color="auto" w:fill="FFFFFF"/>
        <w:spacing w:beforeAutospacing="0" w:afterAutospacing="0" w:line="600" w:lineRule="exact"/>
        <w:rPr>
          <w:rFonts w:ascii="仿宋_GB2312" w:eastAsia="仿宋_GB2312" w:hAnsi="仿宋_GB2312" w:cs="仿宋_GB2312"/>
          <w:color w:val="393939"/>
          <w:sz w:val="34"/>
          <w:szCs w:val="34"/>
        </w:rPr>
      </w:pPr>
      <w:r>
        <w:rPr>
          <w:rFonts w:ascii="仿宋_GB2312" w:eastAsia="仿宋_GB2312" w:hAnsi="仿宋_GB2312" w:cs="仿宋_GB2312" w:hint="eastAsia"/>
          <w:color w:val="393939"/>
          <w:sz w:val="34"/>
          <w:szCs w:val="34"/>
          <w:shd w:val="clear" w:color="auto" w:fill="FFFFFF"/>
        </w:rPr>
        <w:t xml:space="preserve">　　（此件公开发布）</w:t>
      </w:r>
    </w:p>
    <w:p w:rsidR="00DE247F" w:rsidRDefault="00DE247F">
      <w:pPr>
        <w:pStyle w:val="a3"/>
        <w:widowControl/>
        <w:shd w:val="clear" w:color="auto" w:fill="FFFFFF"/>
        <w:spacing w:beforeAutospacing="0" w:afterAutospacing="0" w:line="600" w:lineRule="exact"/>
        <w:rPr>
          <w:rFonts w:ascii="微软雅黑" w:eastAsia="微软雅黑" w:hAnsi="微软雅黑" w:cs="微软雅黑"/>
          <w:color w:val="393939"/>
          <w:shd w:val="clear" w:color="auto" w:fill="FFFFFF"/>
        </w:rPr>
      </w:pPr>
      <w:r>
        <w:rPr>
          <w:rFonts w:ascii="微软雅黑" w:eastAsia="微软雅黑" w:hAnsi="微软雅黑" w:cs="微软雅黑"/>
          <w:color w:val="393939"/>
          <w:shd w:val="clear" w:color="auto" w:fill="FFFFFF"/>
        </w:rPr>
        <w:t xml:space="preserve">　　</w:t>
      </w:r>
    </w:p>
    <w:p w:rsidR="00E85D28" w:rsidRDefault="00DE247F">
      <w:pPr>
        <w:pStyle w:val="a3"/>
        <w:widowControl/>
        <w:shd w:val="clear" w:color="auto" w:fill="FFFFFF"/>
        <w:spacing w:beforeAutospacing="0" w:afterAutospacing="0" w:line="600" w:lineRule="exact"/>
        <w:rPr>
          <w:rFonts w:ascii="微软雅黑" w:eastAsia="微软雅黑" w:hAnsi="微软雅黑" w:cs="微软雅黑"/>
          <w:color w:val="393939"/>
        </w:rPr>
      </w:pPr>
      <w:r>
        <w:rPr>
          <w:rStyle w:val="a4"/>
          <w:rFonts w:ascii="微软雅黑" w:eastAsia="微软雅黑" w:hAnsi="微软雅黑" w:cs="微软雅黑"/>
          <w:color w:val="393939"/>
          <w:shd w:val="clear" w:color="auto" w:fill="FFFFFF"/>
        </w:rPr>
        <w:t>附件</w:t>
      </w:r>
    </w:p>
    <w:p w:rsidR="00E85D28" w:rsidRDefault="00DE247F">
      <w:pPr>
        <w:pStyle w:val="a3"/>
        <w:widowControl/>
        <w:shd w:val="clear" w:color="auto" w:fill="FFFFFF"/>
        <w:spacing w:beforeAutospacing="0" w:afterAutospacing="0" w:line="600" w:lineRule="exact"/>
        <w:jc w:val="center"/>
        <w:rPr>
          <w:rFonts w:ascii="微软雅黑" w:eastAsia="微软雅黑" w:hAnsi="微软雅黑" w:cs="微软雅黑"/>
          <w:color w:val="393939"/>
        </w:rPr>
      </w:pPr>
      <w:r>
        <w:rPr>
          <w:rStyle w:val="a4"/>
          <w:rFonts w:ascii="微软雅黑" w:eastAsia="微软雅黑" w:hAnsi="微软雅黑" w:cs="微软雅黑"/>
          <w:color w:val="393939"/>
          <w:shd w:val="clear" w:color="auto" w:fill="FFFFFF"/>
        </w:rPr>
        <w:t>重点任务分工及进度安排表</w:t>
      </w:r>
    </w:p>
    <w:p w:rsidR="00E85D28" w:rsidRDefault="00DE247F">
      <w:pPr>
        <w:pStyle w:val="a3"/>
        <w:widowControl/>
        <w:shd w:val="clear" w:color="auto" w:fill="FFFFFF"/>
        <w:spacing w:beforeAutospacing="0" w:afterAutospacing="0" w:line="600" w:lineRule="exact"/>
        <w:rPr>
          <w:rFonts w:ascii="微软雅黑" w:eastAsia="微软雅黑" w:hAnsi="微软雅黑" w:cs="微软雅黑"/>
          <w:color w:val="393939"/>
        </w:rPr>
      </w:pPr>
      <w:r>
        <w:rPr>
          <w:rFonts w:ascii="微软雅黑" w:eastAsia="微软雅黑" w:hAnsi="微软雅黑" w:cs="微软雅黑"/>
          <w:color w:val="393939"/>
          <w:shd w:val="clear" w:color="auto" w:fill="FFFFFF"/>
        </w:rPr>
        <w:t xml:space="preserve">　　</w:t>
      </w:r>
    </w:p>
    <w:tbl>
      <w:tblPr>
        <w:tblW w:w="9076" w:type="dxa"/>
        <w:jc w:val="center"/>
        <w:tblInd w:w="-27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18"/>
        <w:gridCol w:w="3818"/>
        <w:gridCol w:w="2270"/>
        <w:gridCol w:w="2270"/>
      </w:tblGrid>
      <w:tr w:rsidR="00E85D28">
        <w:trPr>
          <w:jc w:val="center"/>
        </w:trPr>
        <w:tc>
          <w:tcPr>
            <w:tcW w:w="718" w:type="dxa"/>
            <w:tcBorders>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宋体" w:eastAsia="宋体" w:hAnsi="宋体" w:cs="宋体" w:hint="eastAsia"/>
                <w:b/>
                <w:color w:val="393939"/>
                <w:sz w:val="20"/>
                <w:szCs w:val="20"/>
              </w:rPr>
              <w:t>序号</w:t>
            </w:r>
          </w:p>
        </w:tc>
        <w:tc>
          <w:tcPr>
            <w:tcW w:w="3818" w:type="dxa"/>
            <w:tcBorders>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宋体" w:eastAsia="宋体" w:hAnsi="宋体" w:cs="宋体" w:hint="eastAsia"/>
                <w:b/>
                <w:color w:val="393939"/>
                <w:sz w:val="20"/>
                <w:szCs w:val="20"/>
              </w:rPr>
              <w:t>工作任务</w:t>
            </w:r>
          </w:p>
        </w:tc>
        <w:tc>
          <w:tcPr>
            <w:tcW w:w="2270" w:type="dxa"/>
            <w:tcBorders>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宋体" w:eastAsia="宋体" w:hAnsi="宋体" w:cs="宋体" w:hint="eastAsia"/>
                <w:b/>
                <w:color w:val="393939"/>
                <w:sz w:val="20"/>
                <w:szCs w:val="20"/>
              </w:rPr>
              <w:t>负责部门</w:t>
            </w:r>
          </w:p>
        </w:tc>
        <w:tc>
          <w:tcPr>
            <w:tcW w:w="2270" w:type="dxa"/>
            <w:tcBorders>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宋体" w:eastAsia="宋体" w:hAnsi="宋体" w:cs="宋体" w:hint="eastAsia"/>
                <w:b/>
                <w:color w:val="393939"/>
                <w:sz w:val="20"/>
                <w:szCs w:val="20"/>
              </w:rPr>
              <w:t>时间进度</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1</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鼓励境外投资者设立非营利性养老机构</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民政部、公安部、国家发展改革委、商务部等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Times New Roman" w:hAnsi="Times New Roman"/>
                <w:color w:val="393939"/>
                <w:sz w:val="20"/>
                <w:szCs w:val="20"/>
              </w:rPr>
              <w:t>2016</w:t>
            </w:r>
            <w:r>
              <w:rPr>
                <w:rFonts w:ascii="宋体" w:eastAsia="宋体" w:hAnsi="宋体" w:cs="宋体" w:hint="eastAsia"/>
                <w:color w:val="393939"/>
                <w:sz w:val="20"/>
                <w:szCs w:val="20"/>
              </w:rPr>
              <w:t>年</w:t>
            </w:r>
            <w:r>
              <w:rPr>
                <w:rFonts w:ascii="Times New Roman" w:hAnsi="Times New Roman"/>
                <w:color w:val="393939"/>
                <w:sz w:val="20"/>
                <w:szCs w:val="20"/>
              </w:rPr>
              <w:t>12</w:t>
            </w:r>
            <w:r>
              <w:rPr>
                <w:rFonts w:ascii="宋体" w:eastAsia="宋体" w:hAnsi="宋体" w:cs="宋体" w:hint="eastAsia"/>
                <w:color w:val="393939"/>
                <w:sz w:val="20"/>
                <w:szCs w:val="20"/>
              </w:rPr>
              <w:t>月底前完成</w:t>
            </w:r>
          </w:p>
        </w:tc>
      </w:tr>
      <w:tr w:rsidR="00E85D28">
        <w:trPr>
          <w:trHeight w:val="1365"/>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2</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全面清理、取消申办养老机构的不合理前置审批事项，优化审批程序，简化审批流程</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民政部等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Times New Roman" w:hAnsi="Times New Roman"/>
                <w:color w:val="393939"/>
                <w:sz w:val="20"/>
                <w:szCs w:val="20"/>
              </w:rPr>
              <w:t>2016</w:t>
            </w:r>
            <w:r>
              <w:rPr>
                <w:rFonts w:ascii="宋体" w:eastAsia="宋体" w:hAnsi="宋体" w:cs="宋体" w:hint="eastAsia"/>
                <w:color w:val="393939"/>
                <w:sz w:val="20"/>
                <w:szCs w:val="20"/>
              </w:rPr>
              <w:t>年</w:t>
            </w:r>
            <w:r>
              <w:rPr>
                <w:rFonts w:ascii="Times New Roman" w:hAnsi="Times New Roman"/>
                <w:color w:val="393939"/>
                <w:sz w:val="20"/>
                <w:szCs w:val="20"/>
              </w:rPr>
              <w:t>12</w:t>
            </w:r>
            <w:r>
              <w:rPr>
                <w:rFonts w:ascii="宋体" w:eastAsia="宋体" w:hAnsi="宋体" w:cs="宋体" w:hint="eastAsia"/>
                <w:color w:val="393939"/>
                <w:sz w:val="20"/>
                <w:szCs w:val="20"/>
              </w:rPr>
              <w:t>月底前完成</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3</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根据消防法和有关规定，制定既保障安全、又方便合理的养老机构设立和管理配套办法</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民政部、公安部、住房城乡建设部等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Times New Roman" w:hAnsi="Times New Roman"/>
                <w:color w:val="393939"/>
                <w:sz w:val="20"/>
                <w:szCs w:val="20"/>
              </w:rPr>
              <w:t>2017</w:t>
            </w:r>
            <w:r>
              <w:rPr>
                <w:rFonts w:ascii="宋体" w:eastAsia="宋体" w:hAnsi="宋体" w:cs="宋体" w:hint="eastAsia"/>
                <w:color w:val="393939"/>
                <w:sz w:val="20"/>
                <w:szCs w:val="20"/>
              </w:rPr>
              <w:t>年</w:t>
            </w:r>
            <w:r>
              <w:rPr>
                <w:rFonts w:ascii="Times New Roman" w:hAnsi="Times New Roman"/>
                <w:color w:val="393939"/>
                <w:sz w:val="20"/>
                <w:szCs w:val="20"/>
              </w:rPr>
              <w:t>6</w:t>
            </w:r>
            <w:r>
              <w:rPr>
                <w:rFonts w:ascii="宋体" w:eastAsia="宋体" w:hAnsi="宋体" w:cs="宋体" w:hint="eastAsia"/>
                <w:color w:val="393939"/>
                <w:sz w:val="20"/>
                <w:szCs w:val="20"/>
              </w:rPr>
              <w:t>月底前完成</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4</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完善价格形成机制</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国家发展改革委、民政部等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持续实施</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5</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加快公办养老机构改革</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民政部、各省级人民政府</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持续实施</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lastRenderedPageBreak/>
              <w:t>6</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加强行业信用建设</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民政部、国家发展改革委、人民银行、工商总局等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Times New Roman" w:hAnsi="Times New Roman"/>
                <w:color w:val="393939"/>
                <w:sz w:val="20"/>
                <w:szCs w:val="20"/>
              </w:rPr>
              <w:t>2017</w:t>
            </w:r>
            <w:r>
              <w:rPr>
                <w:rFonts w:ascii="宋体" w:eastAsia="宋体" w:hAnsi="宋体" w:cs="宋体" w:hint="eastAsia"/>
                <w:color w:val="393939"/>
                <w:sz w:val="20"/>
                <w:szCs w:val="20"/>
              </w:rPr>
              <w:t>年</w:t>
            </w:r>
            <w:r>
              <w:rPr>
                <w:rFonts w:ascii="Times New Roman" w:hAnsi="Times New Roman"/>
                <w:color w:val="393939"/>
                <w:sz w:val="20"/>
                <w:szCs w:val="20"/>
              </w:rPr>
              <w:t>6</w:t>
            </w:r>
            <w:r>
              <w:rPr>
                <w:rFonts w:ascii="宋体" w:eastAsia="宋体" w:hAnsi="宋体" w:cs="宋体" w:hint="eastAsia"/>
                <w:color w:val="393939"/>
                <w:sz w:val="20"/>
                <w:szCs w:val="20"/>
              </w:rPr>
              <w:t>月底前完成</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7</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提高老年人生活便捷化水平</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住房城乡建设部、民政部、国家发展改革委等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持续实施</w:t>
            </w:r>
          </w:p>
        </w:tc>
      </w:tr>
      <w:tr w:rsidR="00E85D28">
        <w:trPr>
          <w:trHeight w:val="3000"/>
          <w:jc w:val="center"/>
        </w:trPr>
        <w:tc>
          <w:tcPr>
            <w:tcW w:w="718" w:type="dxa"/>
            <w:tcBorders>
              <w:top w:val="nil"/>
              <w:bottom w:val="single" w:sz="4" w:space="0" w:color="auto"/>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8</w:t>
            </w:r>
          </w:p>
        </w:tc>
        <w:tc>
          <w:tcPr>
            <w:tcW w:w="3818" w:type="dxa"/>
            <w:tcBorders>
              <w:top w:val="nil"/>
              <w:left w:val="nil"/>
              <w:bottom w:val="single" w:sz="4" w:space="0" w:color="auto"/>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推进“互联网</w:t>
            </w:r>
            <w:r>
              <w:rPr>
                <w:rFonts w:ascii="Times New Roman" w:hAnsi="Times New Roman"/>
                <w:color w:val="393939"/>
                <w:sz w:val="20"/>
                <w:szCs w:val="20"/>
              </w:rPr>
              <w:t>+</w:t>
            </w:r>
            <w:r>
              <w:rPr>
                <w:rFonts w:ascii="宋体" w:eastAsia="宋体" w:hAnsi="宋体" w:cs="宋体" w:hint="eastAsia"/>
                <w:color w:val="393939"/>
                <w:sz w:val="20"/>
                <w:szCs w:val="20"/>
              </w:rPr>
              <w:t>”养老服务创新</w:t>
            </w:r>
          </w:p>
        </w:tc>
        <w:tc>
          <w:tcPr>
            <w:tcW w:w="2270" w:type="dxa"/>
            <w:tcBorders>
              <w:top w:val="nil"/>
              <w:left w:val="nil"/>
              <w:bottom w:val="single" w:sz="4" w:space="0" w:color="auto"/>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工业和信息化部、科技部、民政部、国家卫生计生委、国家发展改革委等</w:t>
            </w:r>
          </w:p>
        </w:tc>
        <w:tc>
          <w:tcPr>
            <w:tcW w:w="2270" w:type="dxa"/>
            <w:tcBorders>
              <w:top w:val="nil"/>
              <w:left w:val="nil"/>
              <w:bottom w:val="single" w:sz="4" w:space="0" w:color="auto"/>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持续实施</w:t>
            </w:r>
          </w:p>
        </w:tc>
      </w:tr>
      <w:tr w:rsidR="00E85D28">
        <w:trPr>
          <w:jc w:val="center"/>
        </w:trPr>
        <w:tc>
          <w:tcPr>
            <w:tcW w:w="718" w:type="dxa"/>
            <w:tcBorders>
              <w:top w:val="single" w:sz="4" w:space="0" w:color="auto"/>
              <w:bottom w:val="single" w:sz="4" w:space="0" w:color="auto"/>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9</w:t>
            </w:r>
          </w:p>
        </w:tc>
        <w:tc>
          <w:tcPr>
            <w:tcW w:w="3818" w:type="dxa"/>
            <w:tcBorders>
              <w:top w:val="single" w:sz="4" w:space="0" w:color="auto"/>
              <w:left w:val="nil"/>
              <w:bottom w:val="single" w:sz="4" w:space="0" w:color="auto"/>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探索建立长期护理保险制度</w:t>
            </w:r>
          </w:p>
        </w:tc>
        <w:tc>
          <w:tcPr>
            <w:tcW w:w="2270" w:type="dxa"/>
            <w:tcBorders>
              <w:top w:val="single" w:sz="4" w:space="0" w:color="auto"/>
              <w:left w:val="nil"/>
              <w:bottom w:val="single" w:sz="4" w:space="0" w:color="auto"/>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人力资源社会保障部、国家卫生计生委、财政部、民政部、国家发展改革委、保监会等</w:t>
            </w:r>
          </w:p>
        </w:tc>
        <w:tc>
          <w:tcPr>
            <w:tcW w:w="2270" w:type="dxa"/>
            <w:tcBorders>
              <w:top w:val="single" w:sz="4" w:space="0" w:color="auto"/>
              <w:left w:val="nil"/>
              <w:bottom w:val="single" w:sz="4" w:space="0" w:color="auto"/>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Times New Roman" w:hAnsi="Times New Roman"/>
                <w:color w:val="393939"/>
                <w:sz w:val="20"/>
                <w:szCs w:val="20"/>
              </w:rPr>
              <w:t>2016</w:t>
            </w:r>
            <w:r>
              <w:rPr>
                <w:rFonts w:ascii="宋体" w:eastAsia="宋体" w:hAnsi="宋体" w:cs="宋体" w:hint="eastAsia"/>
                <w:color w:val="393939"/>
                <w:sz w:val="20"/>
                <w:szCs w:val="20"/>
              </w:rPr>
              <w:t>年</w:t>
            </w:r>
            <w:r>
              <w:rPr>
                <w:rFonts w:ascii="Times New Roman" w:hAnsi="Times New Roman"/>
                <w:color w:val="393939"/>
                <w:sz w:val="20"/>
                <w:szCs w:val="20"/>
              </w:rPr>
              <w:t>12</w:t>
            </w:r>
            <w:r>
              <w:rPr>
                <w:rFonts w:ascii="宋体" w:eastAsia="宋体" w:hAnsi="宋体" w:cs="宋体" w:hint="eastAsia"/>
                <w:color w:val="393939"/>
                <w:sz w:val="20"/>
                <w:szCs w:val="20"/>
              </w:rPr>
              <w:t>月底前完成</w:t>
            </w:r>
          </w:p>
        </w:tc>
      </w:tr>
      <w:tr w:rsidR="00E85D28">
        <w:trPr>
          <w:jc w:val="center"/>
        </w:trPr>
        <w:tc>
          <w:tcPr>
            <w:tcW w:w="718" w:type="dxa"/>
            <w:tcBorders>
              <w:top w:val="single" w:sz="4" w:space="0" w:color="auto"/>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10</w:t>
            </w:r>
          </w:p>
        </w:tc>
        <w:tc>
          <w:tcPr>
            <w:tcW w:w="3818" w:type="dxa"/>
            <w:tcBorders>
              <w:top w:val="single" w:sz="4" w:space="0" w:color="auto"/>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制定养老服务相关规划</w:t>
            </w:r>
          </w:p>
        </w:tc>
        <w:tc>
          <w:tcPr>
            <w:tcW w:w="2270" w:type="dxa"/>
            <w:tcBorders>
              <w:top w:val="single" w:sz="4" w:space="0" w:color="auto"/>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民政部、国家发展改革委等</w:t>
            </w:r>
          </w:p>
        </w:tc>
        <w:tc>
          <w:tcPr>
            <w:tcW w:w="2270" w:type="dxa"/>
            <w:tcBorders>
              <w:top w:val="single" w:sz="4" w:space="0" w:color="auto"/>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Times New Roman" w:hAnsi="Times New Roman"/>
                <w:color w:val="393939"/>
                <w:sz w:val="20"/>
                <w:szCs w:val="20"/>
              </w:rPr>
              <w:t>2016</w:t>
            </w:r>
            <w:r>
              <w:rPr>
                <w:rFonts w:ascii="宋体" w:eastAsia="宋体" w:hAnsi="宋体" w:cs="宋体" w:hint="eastAsia"/>
                <w:color w:val="393939"/>
                <w:sz w:val="20"/>
                <w:szCs w:val="20"/>
              </w:rPr>
              <w:t>年</w:t>
            </w:r>
            <w:r>
              <w:rPr>
                <w:rFonts w:ascii="Times New Roman" w:hAnsi="Times New Roman"/>
                <w:color w:val="393939"/>
                <w:sz w:val="20"/>
                <w:szCs w:val="20"/>
              </w:rPr>
              <w:t>12</w:t>
            </w:r>
            <w:r>
              <w:rPr>
                <w:rFonts w:ascii="宋体" w:eastAsia="宋体" w:hAnsi="宋体" w:cs="宋体" w:hint="eastAsia"/>
                <w:color w:val="393939"/>
                <w:sz w:val="20"/>
                <w:szCs w:val="20"/>
              </w:rPr>
              <w:t>月底前完成</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11</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完善土地支持政策</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国土资源部、住房城乡建设部、国家发展改革委、财政部、民政部等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持续实施</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12</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完善职业技能等级与养老服务人员薪酬待遇挂钩机制</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人力资源社会保障部、民政部等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Times New Roman" w:hAnsi="Times New Roman"/>
                <w:color w:val="393939"/>
                <w:sz w:val="20"/>
                <w:szCs w:val="20"/>
              </w:rPr>
              <w:t>2016</w:t>
            </w:r>
            <w:r>
              <w:rPr>
                <w:rFonts w:ascii="宋体" w:eastAsia="宋体" w:hAnsi="宋体" w:cs="宋体" w:hint="eastAsia"/>
                <w:color w:val="393939"/>
                <w:sz w:val="20"/>
                <w:szCs w:val="20"/>
              </w:rPr>
              <w:t>年</w:t>
            </w:r>
            <w:r>
              <w:rPr>
                <w:rFonts w:ascii="Times New Roman" w:hAnsi="Times New Roman"/>
                <w:color w:val="393939"/>
                <w:sz w:val="20"/>
                <w:szCs w:val="20"/>
              </w:rPr>
              <w:t>12</w:t>
            </w:r>
            <w:r>
              <w:rPr>
                <w:rFonts w:ascii="宋体" w:eastAsia="宋体" w:hAnsi="宋体" w:cs="宋体" w:hint="eastAsia"/>
                <w:color w:val="393939"/>
                <w:sz w:val="20"/>
                <w:szCs w:val="20"/>
              </w:rPr>
              <w:t>月底前完成</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13</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探索养老服务机构其他资产抵押贷款的可行模式</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人民银行、民政部等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持续实施</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lastRenderedPageBreak/>
              <w:t>14</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加强服务监管</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民政部、人民银行、银监会、国土资源部、住房城乡建设部、公安部、全国老龄办等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持续实施</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15</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完善养老服务标准体系</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民政部、质检总局等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持续实施</w:t>
            </w:r>
          </w:p>
        </w:tc>
      </w:tr>
      <w:tr w:rsidR="00E85D28">
        <w:trPr>
          <w:jc w:val="center"/>
        </w:trPr>
        <w:tc>
          <w:tcPr>
            <w:tcW w:w="718" w:type="dxa"/>
            <w:tcBorders>
              <w:top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16</w:t>
            </w:r>
          </w:p>
        </w:tc>
        <w:tc>
          <w:tcPr>
            <w:tcW w:w="3818"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落实养老机构综合评估和报告制度</w:t>
            </w:r>
          </w:p>
        </w:tc>
        <w:tc>
          <w:tcPr>
            <w:tcW w:w="2270" w:type="dxa"/>
            <w:tcBorders>
              <w:top w:val="nil"/>
              <w:left w:val="nil"/>
              <w:bottom w:val="single" w:sz="8" w:space="0" w:color="000000"/>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民政部等</w:t>
            </w:r>
          </w:p>
        </w:tc>
        <w:tc>
          <w:tcPr>
            <w:tcW w:w="2270" w:type="dxa"/>
            <w:tcBorders>
              <w:top w:val="nil"/>
              <w:left w:val="nil"/>
              <w:bottom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持续实施</w:t>
            </w:r>
          </w:p>
        </w:tc>
      </w:tr>
      <w:tr w:rsidR="00E85D28">
        <w:trPr>
          <w:jc w:val="center"/>
        </w:trPr>
        <w:tc>
          <w:tcPr>
            <w:tcW w:w="718" w:type="dxa"/>
            <w:tcBorders>
              <w:top w:val="nil"/>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center"/>
              <w:rPr>
                <w:rFonts w:ascii="Times New Roman" w:hAnsi="Times New Roman"/>
                <w:color w:val="393939"/>
                <w:sz w:val="21"/>
                <w:szCs w:val="21"/>
              </w:rPr>
            </w:pPr>
            <w:r>
              <w:rPr>
                <w:rFonts w:ascii="Times New Roman" w:hAnsi="Times New Roman"/>
                <w:color w:val="393939"/>
                <w:sz w:val="20"/>
                <w:szCs w:val="20"/>
              </w:rPr>
              <w:t>17</w:t>
            </w:r>
          </w:p>
        </w:tc>
        <w:tc>
          <w:tcPr>
            <w:tcW w:w="3818" w:type="dxa"/>
            <w:tcBorders>
              <w:top w:val="nil"/>
              <w:left w:val="nil"/>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政府运营的养老机构实行老年人入住评估制度</w:t>
            </w:r>
          </w:p>
        </w:tc>
        <w:tc>
          <w:tcPr>
            <w:tcW w:w="2270" w:type="dxa"/>
            <w:tcBorders>
              <w:top w:val="nil"/>
              <w:left w:val="nil"/>
              <w:right w:val="single" w:sz="8" w:space="0" w:color="000000"/>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宋体" w:eastAsia="宋体" w:hAnsi="宋体" w:cs="宋体" w:hint="eastAsia"/>
                <w:color w:val="393939"/>
                <w:sz w:val="20"/>
                <w:szCs w:val="20"/>
              </w:rPr>
              <w:t>民政部等</w:t>
            </w:r>
          </w:p>
        </w:tc>
        <w:tc>
          <w:tcPr>
            <w:tcW w:w="2270" w:type="dxa"/>
            <w:tcBorders>
              <w:top w:val="nil"/>
              <w:left w:val="nil"/>
            </w:tcBorders>
            <w:shd w:val="clear" w:color="auto" w:fill="auto"/>
            <w:tcMar>
              <w:left w:w="108" w:type="dxa"/>
              <w:right w:w="108" w:type="dxa"/>
            </w:tcMar>
            <w:vAlign w:val="center"/>
          </w:tcPr>
          <w:p w:rsidR="00E85D28" w:rsidRDefault="00DE247F">
            <w:pPr>
              <w:pStyle w:val="a3"/>
              <w:widowControl/>
              <w:spacing w:beforeAutospacing="0" w:afterAutospacing="0" w:line="600" w:lineRule="exact"/>
              <w:jc w:val="both"/>
              <w:rPr>
                <w:rFonts w:ascii="Times New Roman" w:hAnsi="Times New Roman"/>
                <w:color w:val="393939"/>
                <w:sz w:val="21"/>
                <w:szCs w:val="21"/>
              </w:rPr>
            </w:pPr>
            <w:r>
              <w:rPr>
                <w:rFonts w:ascii="Times New Roman" w:hAnsi="Times New Roman"/>
                <w:color w:val="393939"/>
                <w:sz w:val="20"/>
                <w:szCs w:val="20"/>
              </w:rPr>
              <w:t>2016</w:t>
            </w:r>
            <w:r>
              <w:rPr>
                <w:rFonts w:ascii="宋体" w:eastAsia="宋体" w:hAnsi="宋体" w:cs="宋体" w:hint="eastAsia"/>
                <w:color w:val="393939"/>
                <w:sz w:val="20"/>
                <w:szCs w:val="20"/>
              </w:rPr>
              <w:t>年</w:t>
            </w:r>
            <w:r>
              <w:rPr>
                <w:rFonts w:ascii="Times New Roman" w:hAnsi="Times New Roman"/>
                <w:color w:val="393939"/>
                <w:sz w:val="20"/>
                <w:szCs w:val="20"/>
              </w:rPr>
              <w:t>12</w:t>
            </w:r>
            <w:r>
              <w:rPr>
                <w:rFonts w:ascii="宋体" w:eastAsia="宋体" w:hAnsi="宋体" w:cs="宋体" w:hint="eastAsia"/>
                <w:color w:val="393939"/>
                <w:sz w:val="20"/>
                <w:szCs w:val="20"/>
              </w:rPr>
              <w:t>月底前完成</w:t>
            </w:r>
          </w:p>
        </w:tc>
      </w:tr>
    </w:tbl>
    <w:p w:rsidR="00E85D28" w:rsidRDefault="00E85D28">
      <w:pPr>
        <w:spacing w:line="600" w:lineRule="exact"/>
      </w:pPr>
    </w:p>
    <w:sectPr w:rsidR="00E85D28" w:rsidSect="00E85D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简宋">
    <w:altName w:val="宋体"/>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85D28"/>
    <w:rsid w:val="00D74265"/>
    <w:rsid w:val="00DE247F"/>
    <w:rsid w:val="00E85D28"/>
    <w:rsid w:val="00F75889"/>
    <w:rsid w:val="0A9F20F7"/>
    <w:rsid w:val="11237315"/>
    <w:rsid w:val="2E915C08"/>
    <w:rsid w:val="3638416B"/>
    <w:rsid w:val="463C3F7F"/>
    <w:rsid w:val="5AE8129D"/>
    <w:rsid w:val="5F283028"/>
    <w:rsid w:val="63415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D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85D28"/>
    <w:pPr>
      <w:spacing w:beforeAutospacing="1" w:afterAutospacing="1"/>
      <w:jc w:val="left"/>
    </w:pPr>
    <w:rPr>
      <w:rFonts w:cs="Times New Roman"/>
      <w:kern w:val="0"/>
      <w:sz w:val="24"/>
    </w:rPr>
  </w:style>
  <w:style w:type="character" w:styleId="a4">
    <w:name w:val="Strong"/>
    <w:basedOn w:val="a0"/>
    <w:qFormat/>
    <w:rsid w:val="00E85D28"/>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2018-01-26T06:45:00Z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